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C6536">
      <w:pPr>
        <w:bidi w:val="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default"/>
          <w:b/>
          <w:bCs/>
          <w:sz w:val="52"/>
          <w:szCs w:val="52"/>
          <w:lang w:val="en-US" w:eastAsia="zh-CN"/>
        </w:rPr>
        <w:t>大连国企阳光采购服务平台</w:t>
      </w:r>
    </w:p>
    <w:p w14:paraId="791857B7"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评标系统操作手册（简易版）</w:t>
      </w:r>
    </w:p>
    <w:sdt>
      <w:sdtPr>
        <w:rPr>
          <w:lang w:val="en-US" w:eastAsia="zh-CN"/>
        </w:rPr>
        <w:id w:val="14746725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52"/>
          <w:lang w:val="en-US" w:eastAsia="zh-CN" w:bidi="ar-SA"/>
        </w:rPr>
      </w:sdtEndPr>
      <w:sdtContent>
        <w:p w14:paraId="1E62EB16">
          <w:pPr>
            <w:pStyle w:val="2"/>
            <w:bidi w:val="0"/>
            <w:jc w:val="center"/>
          </w:pPr>
        </w:p>
        <w:p w14:paraId="1B862B39">
          <w:pPr>
            <w:pStyle w:val="7"/>
            <w:tabs>
              <w:tab w:val="right" w:leader="dot" w:pos="8306"/>
            </w:tabs>
          </w:pPr>
          <w:r>
            <w:rPr>
              <w:rFonts w:hint="eastAsia"/>
              <w:sz w:val="52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 w:val="52"/>
              <w:szCs w:val="52"/>
              <w:lang w:val="en-US" w:eastAsia="zh-CN"/>
            </w:rPr>
            <w:instrText xml:space="preserve">TOC \o "1-2" \h \u </w:instrText>
          </w:r>
          <w:r>
            <w:rPr>
              <w:rFonts w:hint="eastAsia"/>
              <w:sz w:val="52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52"/>
              <w:lang w:val="en-US" w:eastAsia="zh-CN"/>
            </w:rPr>
            <w:instrText xml:space="preserve"> HYPERLINK \l _Toc15182 </w:instrText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separate"/>
          </w:r>
          <w:r>
            <w:rPr>
              <w:b/>
              <w:bCs/>
            </w:rPr>
            <w:t>目录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_Toc15182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end"/>
          </w:r>
        </w:p>
        <w:p w14:paraId="4EE950D1">
          <w:pPr>
            <w:pStyle w:val="7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52"/>
              <w:lang w:val="en-US" w:eastAsia="zh-CN"/>
            </w:rPr>
            <w:instrText xml:space="preserve"> HYPERLINK \l _Toc15853 </w:instrText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一、 系统登录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_Toc15853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end"/>
          </w:r>
        </w:p>
        <w:p w14:paraId="44D5F5A6">
          <w:pPr>
            <w:pStyle w:val="7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52"/>
              <w:lang w:val="en-US" w:eastAsia="zh-CN"/>
            </w:rPr>
            <w:instrText xml:space="preserve"> HYPERLINK \l _Toc4617 </w:instrText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二、 评标流程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_Toc4617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end"/>
          </w:r>
        </w:p>
        <w:p w14:paraId="29678FB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_Toc15034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1、评标纪律</w:t>
          </w:r>
          <w:r>
            <w:tab/>
          </w:r>
          <w:r>
            <w:fldChar w:fldCharType="begin"/>
          </w:r>
          <w:r>
            <w:instrText xml:space="preserve"> PAGEREF _Toc15034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293C4270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_Toc26316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2、评委回避</w:t>
          </w:r>
          <w:r>
            <w:tab/>
          </w:r>
          <w:r>
            <w:fldChar w:fldCharType="begin"/>
          </w:r>
          <w:r>
            <w:instrText xml:space="preserve"> PAGEREF _Toc26316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5415A3B0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_Toc28822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3、专家组长推荐</w:t>
          </w:r>
          <w:r>
            <w:tab/>
          </w:r>
          <w:r>
            <w:fldChar w:fldCharType="begin"/>
          </w:r>
          <w:r>
            <w:instrText xml:space="preserve"> PAGEREF _Toc28822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1D23A36E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_Toc26599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4、评标开始</w:t>
          </w:r>
          <w:r>
            <w:tab/>
          </w:r>
          <w:r>
            <w:fldChar w:fldCharType="begin"/>
          </w:r>
          <w:r>
            <w:instrText xml:space="preserve"> PAGEREF _Toc26599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12B7623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_Toc18389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5、清标</w:t>
          </w:r>
          <w:r>
            <w:tab/>
          </w:r>
          <w:r>
            <w:fldChar w:fldCharType="begin"/>
          </w:r>
          <w:r>
            <w:instrText xml:space="preserve"> PAGEREF _Toc18389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7AA7700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_Toc2717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6、资格性审查</w:t>
          </w:r>
          <w:r>
            <w:tab/>
          </w:r>
          <w:r>
            <w:fldChar w:fldCharType="begin"/>
          </w:r>
          <w:r>
            <w:instrText xml:space="preserve"> PAGEREF _Toc2717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4B97735F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_Toc15870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7、资格性审查汇总</w:t>
          </w:r>
          <w:r>
            <w:tab/>
          </w:r>
          <w:r>
            <w:fldChar w:fldCharType="begin"/>
          </w:r>
          <w:r>
            <w:instrText xml:space="preserve"> PAGEREF _Toc15870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39E11F5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_Toc1631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8、符合性评审</w:t>
          </w:r>
          <w:r>
            <w:tab/>
          </w:r>
          <w:r>
            <w:fldChar w:fldCharType="begin"/>
          </w:r>
          <w:r>
            <w:instrText xml:space="preserve"> PAGEREF _Toc1631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9A507D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_Toc17569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9、符合性评审汇总</w:t>
          </w:r>
          <w:r>
            <w:tab/>
          </w:r>
          <w:r>
            <w:fldChar w:fldCharType="begin"/>
          </w:r>
          <w:r>
            <w:instrText xml:space="preserve"> PAGEREF _Toc17569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CA1F71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_Toc18134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10、无效文件查看</w:t>
          </w:r>
          <w:r>
            <w:tab/>
          </w:r>
          <w:r>
            <w:fldChar w:fldCharType="begin"/>
          </w:r>
          <w:r>
            <w:instrText xml:space="preserve"> PAGEREF _Toc18134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41275DB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_Toc16310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11、挑选同一品牌单位</w:t>
          </w:r>
          <w:r>
            <w:tab/>
          </w:r>
          <w:r>
            <w:fldChar w:fldCharType="begin"/>
          </w:r>
          <w:r>
            <w:instrText xml:space="preserve"> PAGEREF _Toc16310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5BB7AAA5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_Toc29512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12、小微（福利及残疾）企业折扣</w:t>
          </w:r>
          <w:r>
            <w:tab/>
          </w:r>
          <w:r>
            <w:fldChar w:fldCharType="begin"/>
          </w:r>
          <w:r>
            <w:instrText xml:space="preserve"> PAGEREF _Toc29512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1AE2C99E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_Toc26606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13、多轮报价环节</w:t>
          </w:r>
          <w:r>
            <w:tab/>
          </w:r>
          <w:r>
            <w:fldChar w:fldCharType="begin"/>
          </w:r>
          <w:r>
            <w:instrText xml:space="preserve"> PAGEREF _Toc26606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A403587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_Toc24092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14、标价比较表</w:t>
          </w:r>
          <w:r>
            <w:tab/>
          </w:r>
          <w:r>
            <w:fldChar w:fldCharType="begin"/>
          </w:r>
          <w:r>
            <w:instrText xml:space="preserve"> PAGEREF _Toc24092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2A4DA02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_Toc14499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Cs w:val="0"/>
              <w:szCs w:val="28"/>
              <w:lang w:val="en-US" w:eastAsia="zh-CN"/>
            </w:rPr>
            <w:t>15、最终排名</w:t>
          </w:r>
          <w:r>
            <w:tab/>
          </w:r>
          <w:r>
            <w:fldChar w:fldCharType="begin"/>
          </w:r>
          <w:r>
            <w:instrText xml:space="preserve"> PAGEREF _Toc14499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5EE26D33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_Toc1417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16、评委点评环节</w:t>
          </w:r>
          <w:r>
            <w:tab/>
          </w:r>
          <w:r>
            <w:fldChar w:fldCharType="begin"/>
          </w:r>
          <w:r>
            <w:instrText xml:space="preserve"> PAGEREF _Toc1417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5EA7098C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_Toc3667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17、评委点评汇总环节</w:t>
          </w:r>
          <w:r>
            <w:tab/>
          </w:r>
          <w:r>
            <w:fldChar w:fldCharType="begin"/>
          </w:r>
          <w:r>
            <w:instrText xml:space="preserve"> PAGEREF _Toc3667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3A76471A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_Toc22198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18、评委签章环节</w:t>
          </w:r>
          <w:r>
            <w:tab/>
          </w:r>
          <w:r>
            <w:fldChar w:fldCharType="begin"/>
          </w:r>
          <w:r>
            <w:instrText xml:space="preserve"> PAGEREF _Toc22198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1C81397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_Toc443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19、评标报告</w:t>
          </w:r>
          <w:r>
            <w:tab/>
          </w:r>
          <w:r>
            <w:fldChar w:fldCharType="begin"/>
          </w:r>
          <w:r>
            <w:instrText xml:space="preserve"> PAGEREF _Toc443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24F4A8A9">
          <w:pPr>
            <w:pStyle w:val="7"/>
            <w:tabs>
              <w:tab w:val="right" w:leader="dot" w:pos="8306"/>
            </w:tabs>
            <w:rPr>
              <w:b/>
              <w:bCs/>
            </w:rPr>
          </w:pPr>
          <w:r>
            <w:rPr>
              <w:rFonts w:hint="eastAsia"/>
              <w:b/>
              <w:bCs/>
              <w:szCs w:val="5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Cs w:val="52"/>
              <w:lang w:val="en-US" w:eastAsia="zh-CN"/>
            </w:rPr>
            <w:instrText xml:space="preserve"> HYPERLINK \l _Toc11985 </w:instrText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lang w:val="en-US" w:eastAsia="zh-CN"/>
            </w:rPr>
            <w:t>三、 其他操作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_Toc11985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20</w:t>
          </w:r>
          <w:r>
            <w:rPr>
              <w:b/>
              <w:bCs/>
            </w:rPr>
            <w:fldChar w:fldCharType="end"/>
          </w:r>
          <w:r>
            <w:rPr>
              <w:rFonts w:hint="eastAsia"/>
              <w:b/>
              <w:bCs/>
              <w:szCs w:val="52"/>
              <w:lang w:val="en-US" w:eastAsia="zh-CN"/>
            </w:rPr>
            <w:fldChar w:fldCharType="end"/>
          </w:r>
        </w:p>
        <w:p w14:paraId="7CF3A70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_Toc11540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1、下载投标文件、招标文件</w:t>
          </w:r>
          <w:r>
            <w:tab/>
          </w:r>
          <w:r>
            <w:fldChar w:fldCharType="begin"/>
          </w:r>
          <w:r>
            <w:instrText xml:space="preserve"> PAGEREF _Toc11540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E344E11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_Toc12774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2、废标（组长操作）</w:t>
          </w:r>
          <w:r>
            <w:tab/>
          </w:r>
          <w:r>
            <w:fldChar w:fldCharType="begin"/>
          </w:r>
          <w:r>
            <w:instrText xml:space="preserve"> PAGEREF _Toc12774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9228146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_Toc13321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3、流标（组长操作）</w:t>
          </w:r>
          <w:r>
            <w:tab/>
          </w:r>
          <w:r>
            <w:fldChar w:fldCharType="begin"/>
          </w:r>
          <w:r>
            <w:instrText xml:space="preserve"> PAGEREF _Toc13321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170B4898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_Toc3464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4、澄清（组长操作）</w:t>
          </w:r>
          <w:r>
            <w:tab/>
          </w:r>
          <w:r>
            <w:fldChar w:fldCharType="begin"/>
          </w:r>
          <w:r>
            <w:instrText xml:space="preserve"> PAGEREF _Toc3464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75C75F9A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_Toc27721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5、标书比对</w:t>
          </w:r>
          <w:r>
            <w:tab/>
          </w:r>
          <w:r>
            <w:fldChar w:fldCharType="begin"/>
          </w:r>
          <w:r>
            <w:instrText xml:space="preserve"> PAGEREF _Toc27721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2E38D5DB">
          <w:pPr>
            <w:pStyle w:val="8"/>
            <w:tabs>
              <w:tab w:val="right" w:leader="dot" w:pos="8306"/>
            </w:tabs>
          </w:pPr>
          <w:r>
            <w:rPr>
              <w:rFonts w:hint="eastAsia"/>
              <w:szCs w:val="52"/>
              <w:lang w:val="en-US" w:eastAsia="zh-CN"/>
            </w:rPr>
            <w:fldChar w:fldCharType="begin"/>
          </w:r>
          <w:r>
            <w:rPr>
              <w:rFonts w:hint="eastAsia"/>
              <w:szCs w:val="52"/>
              <w:lang w:val="en-US" w:eastAsia="zh-CN"/>
            </w:rPr>
            <w:instrText xml:space="preserve"> HYPERLINK \l _Toc11642 </w:instrText>
          </w:r>
          <w:r>
            <w:rPr>
              <w:rFonts w:hint="eastAsia"/>
              <w:szCs w:val="52"/>
              <w:lang w:val="en-US" w:eastAsia="zh-CN"/>
            </w:rPr>
            <w:fldChar w:fldCharType="separate"/>
          </w:r>
          <w:r>
            <w:rPr>
              <w:rFonts w:hint="eastAsia"/>
              <w:bCs w:val="0"/>
              <w:lang w:val="en-US" w:eastAsia="zh-CN"/>
            </w:rPr>
            <w:t>6、流程重置</w:t>
          </w:r>
          <w:r>
            <w:rPr>
              <w:rFonts w:hint="eastAsia"/>
              <w:bCs w:val="0"/>
              <w:szCs w:val="28"/>
              <w:lang w:val="en-US" w:eastAsia="zh-CN"/>
            </w:rPr>
            <w:t>（组长操作）</w:t>
          </w:r>
          <w:r>
            <w:tab/>
          </w:r>
          <w:r>
            <w:fldChar w:fldCharType="begin"/>
          </w:r>
          <w:r>
            <w:instrText xml:space="preserve"> PAGEREF _Toc11642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szCs w:val="52"/>
              <w:lang w:val="en-US" w:eastAsia="zh-CN"/>
            </w:rPr>
            <w:fldChar w:fldCharType="end"/>
          </w:r>
        </w:p>
        <w:p w14:paraId="08D91C86">
          <w:pPr>
            <w:bidi w:val="0"/>
            <w:jc w:val="center"/>
            <w:rPr>
              <w:rFonts w:hint="eastAsia" w:asciiTheme="minorHAnsi" w:hAnsiTheme="minorHAnsi" w:eastAsiaTheme="minorEastAsia" w:cstheme="minorBidi"/>
              <w:kern w:val="2"/>
              <w:sz w:val="21"/>
              <w:szCs w:val="52"/>
              <w:lang w:val="en-US" w:eastAsia="zh-CN" w:bidi="ar-SA"/>
            </w:rPr>
          </w:pPr>
          <w:r>
            <w:rPr>
              <w:rFonts w:hint="eastAsia"/>
              <w:szCs w:val="52"/>
              <w:lang w:val="en-US" w:eastAsia="zh-CN"/>
            </w:rPr>
            <w:fldChar w:fldCharType="end"/>
          </w:r>
        </w:p>
      </w:sdtContent>
    </w:sdt>
    <w:p w14:paraId="0C2FD173"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52"/>
          <w:lang w:val="en-US" w:eastAsia="zh-CN" w:bidi="ar-SA"/>
        </w:rPr>
      </w:pPr>
    </w:p>
    <w:p w14:paraId="515D552C">
      <w:pPr>
        <w:rPr>
          <w:rFonts w:hint="eastAsia"/>
          <w:b/>
          <w:bCs w:val="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6ABFE4E">
      <w:pPr>
        <w:rPr>
          <w:rFonts w:hint="eastAsia"/>
          <w:b/>
          <w:bCs w:val="0"/>
          <w:lang w:val="en-US" w:eastAsia="zh-CN"/>
        </w:rPr>
      </w:pPr>
    </w:p>
    <w:p w14:paraId="09B7F6A9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5853"/>
      <w:bookmarkStart w:id="28" w:name="_GoBack"/>
      <w:bookmarkEnd w:id="28"/>
      <w:r>
        <w:rPr>
          <w:rFonts w:hint="eastAsia"/>
          <w:lang w:val="en-US" w:eastAsia="zh-CN"/>
        </w:rPr>
        <w:t>系统登录</w:t>
      </w:r>
      <w:bookmarkEnd w:id="0"/>
    </w:p>
    <w:p w14:paraId="5507C768">
      <w:pPr>
        <w:pStyle w:val="9"/>
        <w:widowControl/>
        <w:rPr>
          <w:rFonts w:hint="default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1、获取评委：</w:t>
      </w: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专家全部到齐</w:t>
      </w: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  <w:lang w:val="en-US" w:eastAsia="zh-CN"/>
        </w:rPr>
        <w:t>后需要</w:t>
      </w:r>
      <w:r>
        <w:rPr>
          <w:rFonts w:hint="eastAsia" w:ascii="方正仿宋_GB2312" w:hAnsi="方正仿宋_GB2312" w:eastAsia="方正仿宋_GB2312" w:cs="方正仿宋_GB2312"/>
          <w:b/>
          <w:bCs w:val="0"/>
          <w:i w:val="0"/>
          <w:iCs w:val="0"/>
          <w:color w:val="FF0000"/>
          <w:sz w:val="28"/>
          <w:szCs w:val="28"/>
          <w:u w:val="single"/>
          <w:lang w:val="en-US" w:eastAsia="zh-CN"/>
        </w:rPr>
        <w:t>代理</w:t>
      </w: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获取专家信息。</w:t>
      </w:r>
    </w:p>
    <w:p w14:paraId="3BF98EA7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2、网址选择：在评标室电脑桌面点击网址大全，点击“阳光采购网站（新平台）”，进入新平台网站首页。</w:t>
      </w:r>
    </w:p>
    <w:p w14:paraId="6C234283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6690" cy="2841625"/>
            <wp:effectExtent l="0" t="0" r="381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C46A">
      <w:pPr>
        <w:rPr>
          <w:rFonts w:hint="eastAsia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3515" cy="2833370"/>
            <wp:effectExtent l="0" t="0" r="698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217D">
      <w:pPr>
        <w:rPr>
          <w:b/>
          <w:bCs w:val="0"/>
        </w:rPr>
      </w:pPr>
    </w:p>
    <w:p w14:paraId="5B5BD180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3、进入评标系统：进入网站首页后，点击右侧功能栏中的“评标系统”。</w:t>
      </w:r>
    </w:p>
    <w:p w14:paraId="31837A75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8173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000000"/>
          <w:kern w:val="0"/>
          <w:sz w:val="28"/>
          <w:szCs w:val="28"/>
          <w:lang w:bidi="ar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4、</w:t>
      </w:r>
      <w:r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000000"/>
          <w:kern w:val="0"/>
          <w:sz w:val="28"/>
          <w:szCs w:val="28"/>
          <w:lang w:bidi="ar"/>
        </w:rPr>
        <w:t>人脸登录：</w:t>
      </w:r>
      <w:r>
        <w:rPr>
          <w:rFonts w:hint="eastAsia" w:ascii="方正仿宋_GB2312" w:hAnsi="方正仿宋_GB2312" w:eastAsia="方正仿宋_GB2312" w:cs="方正仿宋_GB2312"/>
          <w:b/>
          <w:bCs w:val="0"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  <w:t>评委老师点击【评委】然后再点击【人脸登录】并输入姓名、身份证号后点击【登录】按钮后会弹出人脸识别页面，识别成功后系统将自动登录到评标系统。</w:t>
      </w:r>
    </w:p>
    <w:p w14:paraId="76F32985">
      <w:pPr>
        <w:numPr>
          <w:ilvl w:val="0"/>
          <w:numId w:val="0"/>
        </w:numPr>
        <w:rPr>
          <w:rFonts w:hint="eastAsia"/>
          <w:b/>
          <w:bCs w:val="0"/>
          <w:sz w:val="28"/>
          <w:szCs w:val="28"/>
          <w:lang w:val="en-US" w:eastAsia="zh-CN"/>
        </w:rPr>
      </w:pPr>
    </w:p>
    <w:p w14:paraId="6265924C">
      <w:pPr>
        <w:numPr>
          <w:ilvl w:val="0"/>
          <w:numId w:val="0"/>
        </w:num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6690" cy="29603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2482">
      <w:pPr>
        <w:numPr>
          <w:ilvl w:val="0"/>
          <w:numId w:val="0"/>
        </w:numPr>
        <w:rPr>
          <w:b/>
          <w:bCs w:val="0"/>
        </w:rPr>
      </w:pPr>
    </w:p>
    <w:p w14:paraId="42F66BD1">
      <w:pPr>
        <w:numPr>
          <w:ilvl w:val="0"/>
          <w:numId w:val="0"/>
        </w:numPr>
        <w:rPr>
          <w:b/>
          <w:bCs w:val="0"/>
          <w:sz w:val="28"/>
          <w:szCs w:val="28"/>
        </w:rPr>
      </w:pPr>
    </w:p>
    <w:p w14:paraId="4B19395D">
      <w:pPr>
        <w:widowControl/>
        <w:jc w:val="left"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（1）、系统弹出摄像头后，需要专家点击【访问该网站时允许】</w:t>
      </w:r>
    </w:p>
    <w:p w14:paraId="21BA92B5">
      <w:pPr>
        <w:widowControl/>
        <w:jc w:val="left"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（2）、并点击【已知晓，开始录制】，按照提示张嘴眨眼</w:t>
      </w:r>
    </w:p>
    <w:p w14:paraId="4F665910">
      <w:pPr>
        <w:numPr>
          <w:ilvl w:val="0"/>
          <w:numId w:val="0"/>
        </w:numPr>
        <w:rPr>
          <w:b/>
          <w:bCs w:val="0"/>
        </w:rPr>
      </w:pPr>
      <w:r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000000"/>
          <w:kern w:val="0"/>
          <w:sz w:val="28"/>
          <w:szCs w:val="28"/>
          <w:lang w:bidi="ar"/>
        </w:rPr>
        <w:drawing>
          <wp:inline distT="0" distB="0" distL="114300" distR="114300">
            <wp:extent cx="5273675" cy="2879090"/>
            <wp:effectExtent l="0" t="0" r="9525" b="3810"/>
            <wp:docPr id="643589722" name="图片 643589722" descr="3e4321fc8874e15959bec22f33bf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89722" name="图片 643589722" descr="3e4321fc8874e15959bec22f33bf8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4382">
      <w:pPr>
        <w:numPr>
          <w:ilvl w:val="0"/>
          <w:numId w:val="0"/>
        </w:numPr>
        <w:rPr>
          <w:b/>
          <w:bCs w:val="0"/>
        </w:rPr>
      </w:pPr>
    </w:p>
    <w:p w14:paraId="1DAFE8DA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" w:name="_Toc4617"/>
      <w:r>
        <w:rPr>
          <w:rFonts w:hint="eastAsia"/>
          <w:lang w:val="en-US" w:eastAsia="zh-CN"/>
        </w:rPr>
        <w:t>评标流程</w:t>
      </w:r>
      <w:bookmarkEnd w:id="1"/>
    </w:p>
    <w:p w14:paraId="1FD7B6DB">
      <w:pPr>
        <w:rPr>
          <w:b/>
          <w:bCs w:val="0"/>
        </w:rPr>
      </w:pPr>
    </w:p>
    <w:p w14:paraId="3FF01F72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" w:name="_Toc15034"/>
      <w:r>
        <w:rPr>
          <w:rFonts w:hint="eastAsia"/>
          <w:lang w:val="en-US" w:eastAsia="zh-CN"/>
        </w:rPr>
        <w:t>1、评标纪律</w:t>
      </w:r>
      <w:bookmarkEnd w:id="2"/>
    </w:p>
    <w:p w14:paraId="43B26FC7">
      <w:pPr>
        <w:numPr>
          <w:ilvl w:val="0"/>
          <w:numId w:val="0"/>
        </w:num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登陆系统后，选择此次评标项目后进入项目，阅读评审纪律后点击“下一步”。</w:t>
      </w:r>
    </w:p>
    <w:p w14:paraId="079366C5">
      <w:pPr>
        <w:rPr>
          <w:rFonts w:hint="eastAsia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6A94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3" w:name="_Toc26316"/>
      <w:r>
        <w:rPr>
          <w:rFonts w:hint="eastAsia"/>
          <w:lang w:val="en-US" w:eastAsia="zh-CN"/>
        </w:rPr>
        <w:t>2、评委回避</w:t>
      </w:r>
      <w:bookmarkEnd w:id="3"/>
    </w:p>
    <w:p w14:paraId="6022AE87">
      <w:pPr>
        <w:numPr>
          <w:ilvl w:val="0"/>
          <w:numId w:val="0"/>
        </w:numPr>
        <w:ind w:left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如果没有需要屏蔽的评委，点击“提交”，点击“下一步”</w:t>
      </w:r>
    </w:p>
    <w:p w14:paraId="49E0D8A8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5420" cy="2798445"/>
            <wp:effectExtent l="0" t="0" r="508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B069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4" w:name="_Toc28822"/>
      <w:r>
        <w:rPr>
          <w:rFonts w:hint="eastAsia"/>
          <w:lang w:val="en-US" w:eastAsia="zh-CN"/>
        </w:rPr>
        <w:t>3、专家组长推荐</w:t>
      </w:r>
      <w:bookmarkEnd w:id="4"/>
    </w:p>
    <w:p w14:paraId="0F105063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进行组长推选，点击“推荐组长”，所有专家都推选后，点击“下一步”。</w:t>
      </w:r>
    </w:p>
    <w:p w14:paraId="358BF938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C763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5" w:name="_Toc26599"/>
      <w:r>
        <w:rPr>
          <w:rFonts w:hint="eastAsia"/>
          <w:lang w:val="en-US" w:eastAsia="zh-CN"/>
        </w:rPr>
        <w:t>4、评标开始</w:t>
      </w:r>
      <w:bookmarkEnd w:id="5"/>
    </w:p>
    <w:p w14:paraId="445F52EE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点击“评标开始”开始评标，其他专家点击“下一步”。</w:t>
      </w:r>
    </w:p>
    <w:p w14:paraId="696ECCAF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975E">
      <w:pPr>
        <w:pStyle w:val="3"/>
        <w:bidi w:val="0"/>
        <w:rPr>
          <w:rFonts w:hint="default"/>
          <w:lang w:val="en-US" w:eastAsia="zh-CN"/>
        </w:rPr>
      </w:pPr>
      <w:bookmarkStart w:id="6" w:name="_Toc18389"/>
      <w:r>
        <w:rPr>
          <w:rFonts w:hint="eastAsia"/>
          <w:lang w:val="en-US" w:eastAsia="zh-CN"/>
        </w:rPr>
        <w:t>5、清标</w:t>
      </w:r>
      <w:bookmarkEnd w:id="6"/>
    </w:p>
    <w:p w14:paraId="6D3E223E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入标书雷同性分析环节，如果没问题点击“下一步”</w:t>
      </w:r>
    </w:p>
    <w:p w14:paraId="36A5D135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4B14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7" w:name="_Toc2717"/>
      <w:r>
        <w:rPr>
          <w:rFonts w:hint="eastAsia"/>
          <w:lang w:val="en-US" w:eastAsia="zh-CN"/>
        </w:rPr>
        <w:t>6、资格性审查</w:t>
      </w:r>
      <w:bookmarkEnd w:id="7"/>
    </w:p>
    <w:p w14:paraId="7C6B55BD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可点击右上角“细致打分”进行详细内容查看打分。</w:t>
      </w:r>
    </w:p>
    <w:p w14:paraId="1BE83274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737C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进入资格性审查细致打分页面后，①中可以查看此项目的供货商，点击不同供应商会在④中显示其具体投标文件，②为评分点可以进行评审打分，③为各评分点的评分标准。</w:t>
      </w:r>
    </w:p>
    <w:p w14:paraId="6F3F2361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4745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资格性审查评分完成后，返回评审环节页面，确定评分无误后，点击“确认提交”</w:t>
      </w:r>
    </w:p>
    <w:p w14:paraId="20C2A58A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D824">
      <w:pPr>
        <w:rPr>
          <w:b/>
          <w:bCs w:val="0"/>
        </w:rPr>
      </w:pPr>
    </w:p>
    <w:p w14:paraId="079206EB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所有专家都确认提交后，点击“下一步”。</w:t>
      </w:r>
    </w:p>
    <w:p w14:paraId="11D2D50B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CFD6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A44D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8" w:name="_Toc15870"/>
      <w:r>
        <w:rPr>
          <w:rFonts w:hint="eastAsia"/>
          <w:lang w:val="en-US" w:eastAsia="zh-CN"/>
        </w:rPr>
        <w:t>7、资格性审查汇总</w:t>
      </w:r>
      <w:bookmarkEnd w:id="8"/>
    </w:p>
    <w:p w14:paraId="71304B51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需要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进行评审汇总，点击“评审汇总”。</w:t>
      </w:r>
    </w:p>
    <w:p w14:paraId="672DFE34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F5E0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确认生成的评标委员评审意见书（</w:t>
      </w:r>
      <w:r>
        <w:rPr>
          <w:rFonts w:hint="default"/>
          <w:b/>
          <w:bCs w:val="0"/>
          <w:sz w:val="28"/>
          <w:szCs w:val="28"/>
          <w:lang w:val="en-US" w:eastAsia="zh-CN"/>
        </w:rPr>
        <w:t> 资格性审查 ）汇总表</w:t>
      </w:r>
      <w:r>
        <w:rPr>
          <w:rFonts w:hint="eastAsia"/>
          <w:b/>
          <w:bCs w:val="0"/>
          <w:sz w:val="28"/>
          <w:szCs w:val="28"/>
          <w:lang w:val="en-US" w:eastAsia="zh-CN"/>
        </w:rPr>
        <w:t>无误后，点击“下一步”。</w:t>
      </w:r>
    </w:p>
    <w:p w14:paraId="5A6CB40A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5755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9" w:name="_Toc1631"/>
      <w:r>
        <w:rPr>
          <w:rFonts w:hint="eastAsia"/>
          <w:lang w:val="en-US" w:eastAsia="zh-CN"/>
        </w:rPr>
        <w:t>8、符合性评审</w:t>
      </w:r>
      <w:bookmarkEnd w:id="9"/>
    </w:p>
    <w:p w14:paraId="1C398EF8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点击“细致打分”，进行各评分点细致打分。</w:t>
      </w:r>
    </w:p>
    <w:p w14:paraId="23451C4A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AF10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62F9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符合性评审打分结束无误后，点击“确认提交”，所有专家都确认提交后，点击“下一步”。</w:t>
      </w:r>
    </w:p>
    <w:p w14:paraId="713FDF20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98E3">
      <w:pPr>
        <w:rPr>
          <w:rFonts w:hint="default"/>
          <w:b/>
          <w:bCs w:val="0"/>
          <w:lang w:val="en-US" w:eastAsia="zh-CN"/>
        </w:rPr>
      </w:pPr>
    </w:p>
    <w:p w14:paraId="3AD27C22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0" w:name="_Toc17569"/>
      <w:r>
        <w:rPr>
          <w:rFonts w:hint="eastAsia"/>
          <w:lang w:val="en-US" w:eastAsia="zh-CN"/>
        </w:rPr>
        <w:t>9、符合性评审汇总</w:t>
      </w:r>
      <w:bookmarkEnd w:id="10"/>
    </w:p>
    <w:p w14:paraId="2E4E78F8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需要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进行“评审汇总”。</w:t>
      </w:r>
    </w:p>
    <w:p w14:paraId="76C0CC70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E09D">
      <w:pPr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确认生成的评标委员评审意见书（</w:t>
      </w:r>
      <w:r>
        <w:rPr>
          <w:rFonts w:hint="default"/>
          <w:b/>
          <w:bCs w:val="0"/>
          <w:sz w:val="28"/>
          <w:szCs w:val="28"/>
          <w:lang w:val="en-US" w:eastAsia="zh-CN"/>
        </w:rPr>
        <w:t> 符合性审查 ）汇总表</w:t>
      </w:r>
      <w:r>
        <w:rPr>
          <w:rFonts w:hint="eastAsia"/>
          <w:b/>
          <w:bCs w:val="0"/>
          <w:sz w:val="28"/>
          <w:szCs w:val="28"/>
          <w:lang w:val="en-US" w:eastAsia="zh-CN"/>
        </w:rPr>
        <w:t>无误后，点击“下一步”。</w:t>
      </w:r>
    </w:p>
    <w:p w14:paraId="36BC994E">
      <w:pPr>
        <w:rPr>
          <w:rFonts w:hint="default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71E3">
      <w:pPr>
        <w:rPr>
          <w:b/>
          <w:bCs w:val="0"/>
        </w:rPr>
      </w:pPr>
    </w:p>
    <w:p w14:paraId="7C9F5DBC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1" w:name="_Toc18134"/>
      <w:r>
        <w:rPr>
          <w:rFonts w:hint="eastAsia"/>
          <w:lang w:val="en-US" w:eastAsia="zh-CN"/>
        </w:rPr>
        <w:t>10、无效文件查看</w:t>
      </w:r>
      <w:bookmarkEnd w:id="11"/>
    </w:p>
    <w:p w14:paraId="647D3A79">
      <w:pPr>
        <w:numPr>
          <w:ilvl w:val="0"/>
          <w:numId w:val="0"/>
        </w:numPr>
        <w:ind w:leftChars="0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点击“下一步”。</w:t>
      </w:r>
    </w:p>
    <w:p w14:paraId="59D6E461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7EB8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2" w:name="_Toc16310"/>
      <w:r>
        <w:rPr>
          <w:rFonts w:hint="eastAsia"/>
          <w:lang w:val="en-US" w:eastAsia="zh-CN"/>
        </w:rPr>
        <w:t>11、挑选同一品牌单位</w:t>
      </w:r>
      <w:bookmarkEnd w:id="12"/>
    </w:p>
    <w:p w14:paraId="25C610DD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59AB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3" w:name="_Toc29512"/>
      <w:r>
        <w:rPr>
          <w:rFonts w:hint="eastAsia"/>
          <w:lang w:val="en-US" w:eastAsia="zh-CN"/>
        </w:rPr>
        <w:t>12、小微（福利及残疾）企业折扣</w:t>
      </w:r>
      <w:bookmarkEnd w:id="13"/>
    </w:p>
    <w:p w14:paraId="70E64311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无小微企业或监狱企业或残疾人企业报价的请在“小微企业报价”栏填写0，点击“保存”，点击“下一步”。</w:t>
      </w:r>
    </w:p>
    <w:p w14:paraId="7472B01E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E949">
      <w:pPr>
        <w:pStyle w:val="3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14" w:name="_Toc26606"/>
      <w:r>
        <w:rPr>
          <w:rFonts w:hint="eastAsia"/>
          <w:lang w:val="en-US" w:eastAsia="zh-CN"/>
        </w:rPr>
        <w:t>13、多轮报价环节</w:t>
      </w:r>
      <w:bookmarkEnd w:id="14"/>
    </w:p>
    <w:p w14:paraId="07111636">
      <w:pPr>
        <w:numPr>
          <w:ilvl w:val="0"/>
          <w:numId w:val="0"/>
        </w:num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如果不涉及多轮报价点击“确认最终报价”点击“下一步”。</w:t>
      </w:r>
    </w:p>
    <w:p w14:paraId="672D6E92">
      <w:pPr>
        <w:numPr>
          <w:ilvl w:val="0"/>
          <w:numId w:val="0"/>
        </w:num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如果涉及多轮报价点击“开始下一轮报价”，可以让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代理</w:t>
      </w:r>
      <w:r>
        <w:rPr>
          <w:rFonts w:hint="eastAsia"/>
          <w:b/>
          <w:bCs w:val="0"/>
          <w:sz w:val="28"/>
          <w:szCs w:val="28"/>
          <w:lang w:val="en-US" w:eastAsia="zh-CN"/>
        </w:rPr>
        <w:t>联系供应商去业务系统进行再次报价。</w:t>
      </w:r>
    </w:p>
    <w:p w14:paraId="72612387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5D8D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5" w:name="_Toc24092"/>
      <w:r>
        <w:rPr>
          <w:rFonts w:hint="eastAsia"/>
          <w:lang w:val="en-US" w:eastAsia="zh-CN"/>
        </w:rPr>
        <w:t>14、标价比较表</w:t>
      </w:r>
      <w:bookmarkEnd w:id="15"/>
    </w:p>
    <w:p w14:paraId="1CF9505A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查看标价是否正确，确认无误点击“下一步”。</w:t>
      </w:r>
    </w:p>
    <w:p w14:paraId="5B5D911B">
      <w:pPr>
        <w:bidi w:val="0"/>
        <w:rPr>
          <w:rFonts w:hint="eastAsia"/>
          <w:b/>
          <w:bCs w:val="0"/>
          <w:sz w:val="28"/>
          <w:szCs w:val="28"/>
          <w:lang w:val="en-US" w:eastAsia="zh-CN"/>
        </w:rPr>
      </w:pPr>
      <w:bookmarkStart w:id="16" w:name="_Toc14499"/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 w:val="0"/>
          <w:sz w:val="28"/>
          <w:szCs w:val="28"/>
          <w:lang w:val="en-US" w:eastAsia="zh-CN"/>
        </w:rPr>
        <w:t>15、最终排名</w:t>
      </w:r>
      <w:bookmarkEnd w:id="16"/>
    </w:p>
    <w:p w14:paraId="47197655">
      <w:pPr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需要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点击“汇总排名”。</w:t>
      </w:r>
    </w:p>
    <w:p w14:paraId="2A738D3B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D349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汇总排名后，无需推荐中标候选人和确定中标人时请直接点击“下一步”，未确定中标人时，评标报告中标人默认排名第一的投标单位；如果有推多名中标单位的情况请按需求勾选单位后在点击“下一步”。</w:t>
      </w:r>
    </w:p>
    <w:p w14:paraId="3F776B8C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C33E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7" w:name="_Toc1417"/>
      <w:r>
        <w:rPr>
          <w:rFonts w:hint="eastAsia"/>
          <w:lang w:val="en-US" w:eastAsia="zh-CN"/>
        </w:rPr>
        <w:t>16、评委点评环节</w:t>
      </w:r>
      <w:bookmarkEnd w:id="17"/>
    </w:p>
    <w:p w14:paraId="4BF7146C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需要每位专家编写点评意见，填写完意见后点击“保存”。</w:t>
      </w:r>
    </w:p>
    <w:p w14:paraId="6546A73B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3FB4">
      <w:pPr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所有专家填写完意见保存后，需要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点击“确认</w:t>
      </w:r>
      <w:r>
        <w:rPr>
          <w:rFonts w:hint="default"/>
          <w:b/>
          <w:bCs w:val="0"/>
          <w:sz w:val="28"/>
          <w:szCs w:val="28"/>
          <w:lang w:val="en-US" w:eastAsia="zh-CN"/>
        </w:rPr>
        <w:t>”</w:t>
      </w:r>
      <w:r>
        <w:rPr>
          <w:rFonts w:hint="eastAsia"/>
          <w:b/>
          <w:bCs w:val="0"/>
          <w:sz w:val="28"/>
          <w:szCs w:val="28"/>
          <w:lang w:val="en-US" w:eastAsia="zh-CN"/>
        </w:rPr>
        <w:t>，确认后点击“下一步”。</w:t>
      </w:r>
    </w:p>
    <w:p w14:paraId="74E3BBB8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1418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8" w:name="_Toc3667"/>
      <w:r>
        <w:rPr>
          <w:rFonts w:hint="eastAsia"/>
          <w:lang w:val="en-US" w:eastAsia="zh-CN"/>
        </w:rPr>
        <w:t>17、评委点评汇总环节</w:t>
      </w:r>
      <w:bookmarkEnd w:id="18"/>
    </w:p>
    <w:p w14:paraId="2ACE6B13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此汇总需要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进行填写，填写完点评汇总意见后，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点击“确认”按钮，再点击“下一步”。</w:t>
      </w:r>
    </w:p>
    <w:p w14:paraId="4B9A46BC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2C7B">
      <w:pPr>
        <w:rPr>
          <w:b/>
          <w:bCs w:val="0"/>
        </w:rPr>
      </w:pPr>
    </w:p>
    <w:p w14:paraId="3544627C">
      <w:pPr>
        <w:rPr>
          <w:b/>
          <w:bCs w:val="0"/>
        </w:rPr>
      </w:pPr>
    </w:p>
    <w:p w14:paraId="5344386D">
      <w:pPr>
        <w:rPr>
          <w:b/>
          <w:bCs w:val="0"/>
        </w:rPr>
      </w:pPr>
    </w:p>
    <w:p w14:paraId="26E0089F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19" w:name="_Toc22198"/>
      <w:r>
        <w:rPr>
          <w:rFonts w:hint="eastAsia"/>
          <w:lang w:val="en-US" w:eastAsia="zh-CN"/>
        </w:rPr>
        <w:t>18、评委签章环节</w:t>
      </w:r>
      <w:bookmarkEnd w:id="19"/>
    </w:p>
    <w:p w14:paraId="44FE2F7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请</w:t>
      </w:r>
      <w:r>
        <w:rPr>
          <w:rFonts w:hint="eastAsia"/>
          <w:sz w:val="28"/>
          <w:szCs w:val="28"/>
          <w:lang w:val="en-US" w:eastAsia="zh-CN"/>
        </w:rPr>
        <w:t>确认报表是</w:t>
      </w: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>否为最新报表</w:t>
      </w:r>
      <w:r>
        <w:rPr>
          <w:rFonts w:hint="eastAsia"/>
          <w:sz w:val="28"/>
          <w:szCs w:val="28"/>
          <w:lang w:val="en-US" w:eastAsia="zh-CN"/>
        </w:rPr>
        <w:t>，如果生成过报表又进行流程重置操作的需要及时</w:t>
      </w:r>
      <w:r>
        <w:rPr>
          <w:rFonts w:hint="eastAsia"/>
          <w:color w:val="FF0000"/>
          <w:sz w:val="28"/>
          <w:szCs w:val="28"/>
          <w:lang w:val="en-US" w:eastAsia="zh-CN"/>
        </w:rPr>
        <w:t>联系代理进行报表重置。</w:t>
      </w:r>
    </w:p>
    <w:p w14:paraId="6509E25C">
      <w:pPr>
        <w:rPr>
          <w:rFonts w:hint="default"/>
          <w:sz w:val="28"/>
          <w:szCs w:val="28"/>
          <w:lang w:val="en-US" w:eastAsia="zh-CN"/>
        </w:rPr>
      </w:pPr>
    </w:p>
    <w:p w14:paraId="0382AB12">
      <w:pPr>
        <w:widowControl/>
        <w:numPr>
          <w:ilvl w:val="0"/>
          <w:numId w:val="0"/>
        </w:numPr>
        <w:ind w:leftChars="0"/>
        <w:jc w:val="left"/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auto"/>
          <w:kern w:val="0"/>
          <w:sz w:val="28"/>
          <w:szCs w:val="28"/>
          <w:lang w:bidi="ar"/>
        </w:rPr>
      </w:pPr>
      <w:r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auto"/>
          <w:kern w:val="0"/>
          <w:sz w:val="28"/>
          <w:szCs w:val="28"/>
          <w:lang w:val="en-US" w:eastAsia="zh-CN" w:bidi="ar"/>
        </w:rPr>
        <w:t>报表无误，</w:t>
      </w:r>
      <w:r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auto"/>
          <w:kern w:val="0"/>
          <w:sz w:val="28"/>
          <w:szCs w:val="28"/>
          <w:lang w:bidi="ar"/>
        </w:rPr>
        <w:t>点击签章页面签章按钮</w:t>
      </w:r>
      <w:r>
        <w:rPr>
          <w:b/>
          <w:bCs w:val="0"/>
          <w:color w:val="auto"/>
          <w:sz w:val="28"/>
          <w:szCs w:val="28"/>
        </w:rPr>
        <w:drawing>
          <wp:inline distT="0" distB="0" distL="114300" distR="114300">
            <wp:extent cx="374015" cy="152400"/>
            <wp:effectExtent l="0" t="0" r="6985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方正仿宋_GB2312" w:hAnsi="方正仿宋_GB2312" w:eastAsia="方正仿宋_GB2312" w:cs="方正仿宋_GB2312"/>
          <w:b/>
          <w:bCs w:val="0"/>
          <w:color w:val="auto"/>
          <w:kern w:val="0"/>
          <w:sz w:val="28"/>
          <w:szCs w:val="28"/>
          <w:lang w:bidi="ar"/>
        </w:rPr>
        <w:t>完成签章。</w:t>
      </w:r>
    </w:p>
    <w:p w14:paraId="46E98637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b/>
          <w:bCs w:val="0"/>
          <w:color w:val="auto"/>
          <w:sz w:val="28"/>
          <w:szCs w:val="28"/>
        </w:rPr>
        <w:drawing>
          <wp:inline distT="0" distB="0" distL="114300" distR="114300">
            <wp:extent cx="5266690" cy="2726690"/>
            <wp:effectExtent l="0" t="0" r="3810" b="381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BA0F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（1）、当提示“您确定进行批量签章吗？”点击【确认】按钮</w:t>
      </w:r>
    </w:p>
    <w:p w14:paraId="20C48F44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b/>
          <w:bCs w:val="0"/>
          <w:color w:val="auto"/>
          <w:sz w:val="28"/>
          <w:szCs w:val="28"/>
        </w:rPr>
        <w:drawing>
          <wp:inline distT="0" distB="0" distL="114300" distR="114300">
            <wp:extent cx="5266690" cy="2724150"/>
            <wp:effectExtent l="0" t="0" r="3810" b="635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F7ED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（2）、点击【开始】后等待签（章进度到达100%）</w:t>
      </w:r>
    </w:p>
    <w:p w14:paraId="660BF8DE">
      <w:pPr>
        <w:widowControl/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b/>
          <w:bCs w:val="0"/>
          <w:color w:val="auto"/>
          <w:sz w:val="28"/>
          <w:szCs w:val="28"/>
        </w:rPr>
        <w:drawing>
          <wp:inline distT="0" distB="0" distL="114300" distR="114300">
            <wp:extent cx="5266690" cy="2718435"/>
            <wp:effectExtent l="0" t="0" r="3810" b="1206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E5BB7">
      <w:pPr>
        <w:widowControl/>
        <w:numPr>
          <w:ilvl w:val="0"/>
          <w:numId w:val="2"/>
        </w:numP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auto"/>
          <w:sz w:val="28"/>
          <w:szCs w:val="28"/>
        </w:rPr>
        <w:t>、所有评委老师的签章全部完成后系统会提示“报表已全部签章完成！”关注签章列会展示“已签”</w:t>
      </w:r>
    </w:p>
    <w:p w14:paraId="2B27A953">
      <w:pPr>
        <w:rPr>
          <w:b/>
          <w:bCs w:val="0"/>
        </w:rPr>
      </w:pPr>
    </w:p>
    <w:p w14:paraId="0A99D948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0" w:name="_Toc443"/>
      <w:r>
        <w:rPr>
          <w:rFonts w:hint="eastAsia"/>
          <w:lang w:val="en-US" w:eastAsia="zh-CN"/>
        </w:rPr>
        <w:t>19、评标报告</w:t>
      </w:r>
      <w:bookmarkEnd w:id="20"/>
    </w:p>
    <w:p w14:paraId="6D069855">
      <w:pPr>
        <w:numPr>
          <w:ilvl w:val="0"/>
          <w:numId w:val="0"/>
        </w:numPr>
        <w:ind w:leftChars="0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由甲方评委老师联系代理，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代理</w:t>
      </w:r>
      <w:r>
        <w:rPr>
          <w:rFonts w:hint="eastAsia"/>
          <w:b/>
          <w:bCs w:val="0"/>
          <w:sz w:val="28"/>
          <w:szCs w:val="28"/>
          <w:lang w:val="en-US" w:eastAsia="zh-CN"/>
        </w:rPr>
        <w:t>确认报告无误后，</w:t>
      </w:r>
      <w:r>
        <w:rPr>
          <w:rFonts w:hint="eastAsia"/>
          <w:b/>
          <w:bCs w:val="0"/>
          <w:color w:val="FF0000"/>
          <w:sz w:val="28"/>
          <w:szCs w:val="28"/>
          <w:u w:val="single"/>
          <w:lang w:val="en-US" w:eastAsia="zh-CN"/>
        </w:rPr>
        <w:t>组长</w:t>
      </w:r>
      <w:r>
        <w:rPr>
          <w:rFonts w:hint="eastAsia"/>
          <w:b/>
          <w:bCs w:val="0"/>
          <w:sz w:val="28"/>
          <w:szCs w:val="28"/>
          <w:lang w:val="en-US" w:eastAsia="zh-CN"/>
        </w:rPr>
        <w:t>就可以点击“评标结束”按钮了，评标结束。</w:t>
      </w:r>
    </w:p>
    <w:p w14:paraId="118002D4">
      <w:pPr>
        <w:rPr>
          <w:rFonts w:hint="default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FA6E">
      <w:pPr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ab/>
      </w:r>
    </w:p>
    <w:p w14:paraId="50E53107">
      <w:pPr>
        <w:rPr>
          <w:rFonts w:hint="default"/>
          <w:b/>
          <w:bCs w:val="0"/>
          <w:lang w:val="en-US" w:eastAsia="zh-CN"/>
        </w:rPr>
      </w:pPr>
    </w:p>
    <w:p w14:paraId="2F8B51ED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1" w:name="_Toc11985"/>
      <w:r>
        <w:rPr>
          <w:rFonts w:hint="eastAsia"/>
          <w:lang w:val="en-US" w:eastAsia="zh-CN"/>
        </w:rPr>
        <w:t>其他操作</w:t>
      </w:r>
      <w:bookmarkEnd w:id="21"/>
    </w:p>
    <w:p w14:paraId="7961A6D0">
      <w:pPr>
        <w:pStyle w:val="3"/>
        <w:bidi w:val="0"/>
        <w:rPr>
          <w:rFonts w:hint="default"/>
          <w:lang w:val="en-US" w:eastAsia="zh-CN"/>
        </w:rPr>
      </w:pPr>
      <w:bookmarkStart w:id="22" w:name="_Toc11540"/>
      <w:r>
        <w:rPr>
          <w:rFonts w:hint="eastAsia"/>
          <w:lang w:val="en-US" w:eastAsia="zh-CN"/>
        </w:rPr>
        <w:t>1、下载投标文件、招标文件</w:t>
      </w:r>
      <w:bookmarkEnd w:id="22"/>
    </w:p>
    <w:p w14:paraId="371963AC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（1）点击右侧“常用功能”可进行投标文件，招标文件查看或下载。</w:t>
      </w:r>
    </w:p>
    <w:p w14:paraId="4320B657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C82D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5754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（2）点击“打包下载”可下载不同供应商的投标文件和招标文件。</w:t>
      </w:r>
    </w:p>
    <w:p w14:paraId="657F6795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A7AC">
      <w:pPr>
        <w:pStyle w:val="3"/>
        <w:bidi w:val="0"/>
        <w:rPr>
          <w:rFonts w:hint="eastAsia"/>
          <w:lang w:val="en-US" w:eastAsia="zh-CN"/>
        </w:rPr>
      </w:pPr>
      <w:bookmarkStart w:id="23" w:name="_Toc12774"/>
      <w:r>
        <w:rPr>
          <w:rFonts w:hint="eastAsia"/>
          <w:lang w:val="en-US" w:eastAsia="zh-CN"/>
        </w:rPr>
        <w:t>2、废标（组长操作）</w:t>
      </w:r>
      <w:bookmarkEnd w:id="23"/>
    </w:p>
    <w:p w14:paraId="2698578D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（1）点击右侧“常用功能”，点击“废标”。</w:t>
      </w:r>
    </w:p>
    <w:p w14:paraId="1B9C9553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F0E41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（2）进入废标页面，点击“添加否决投标”。</w:t>
      </w:r>
    </w:p>
    <w:p w14:paraId="5FCF9C15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AD6E">
      <w:pPr>
        <w:rPr>
          <w:rFonts w:hint="default" w:eastAsia="宋体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（3）选择废标单位，否决投标节点，填写完否决投标理由后，点击“确定”。</w:t>
      </w:r>
    </w:p>
    <w:p w14:paraId="3F9E78EE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0491">
      <w:pPr>
        <w:pStyle w:val="3"/>
        <w:bidi w:val="0"/>
        <w:rPr>
          <w:rFonts w:hint="eastAsia"/>
          <w:lang w:val="en-US" w:eastAsia="zh-CN"/>
        </w:rPr>
      </w:pPr>
      <w:bookmarkStart w:id="24" w:name="_Toc13321"/>
      <w:r>
        <w:rPr>
          <w:rFonts w:hint="eastAsia"/>
          <w:lang w:val="en-US" w:eastAsia="zh-CN"/>
        </w:rPr>
        <w:t>3、流标（组长操作）</w:t>
      </w:r>
      <w:bookmarkEnd w:id="24"/>
    </w:p>
    <w:p w14:paraId="0CB0F823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（1）点击右侧“常用功能”，点击“流标”。</w:t>
      </w:r>
    </w:p>
    <w:p w14:paraId="0E67660E">
      <w:pPr>
        <w:rPr>
          <w:rFonts w:hint="eastAsia"/>
          <w:b/>
          <w:bCs w:val="0"/>
          <w:lang w:val="en-US" w:eastAsia="zh-CN"/>
        </w:rPr>
      </w:pPr>
    </w:p>
    <w:p w14:paraId="1AB4B4E9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CDD44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（2）进入流标页面，依次勾选好“流标阶段”-“集体签章报告（全部勾选）”-“个人签章报告（全部勾选）”内容，填写“流标理由”后点击“确认”。</w:t>
      </w:r>
    </w:p>
    <w:p w14:paraId="1854A75F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C3B4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DBE8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07552">
      <w:pPr>
        <w:rPr>
          <w:rFonts w:hint="default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786F">
      <w:pPr>
        <w:pStyle w:val="3"/>
        <w:bidi w:val="0"/>
        <w:rPr>
          <w:rFonts w:hint="default"/>
          <w:lang w:val="en-US" w:eastAsia="zh-CN"/>
        </w:rPr>
      </w:pPr>
      <w:bookmarkStart w:id="25" w:name="_Toc3464"/>
      <w:r>
        <w:rPr>
          <w:rFonts w:hint="eastAsia"/>
          <w:lang w:val="en-US" w:eastAsia="zh-CN"/>
        </w:rPr>
        <w:t>4、澄清（组长操作）</w:t>
      </w:r>
      <w:bookmarkEnd w:id="25"/>
    </w:p>
    <w:p w14:paraId="16894F03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（1）点击右侧“常用功能”，点击“澄清”。</w:t>
      </w:r>
    </w:p>
    <w:p w14:paraId="22F29C7F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B0B6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（2）澄清页面点击“新增澄清”。</w:t>
      </w:r>
    </w:p>
    <w:p w14:paraId="7AAA194B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2BC2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（3）填写需要澄清的内容，勾选澄清单位，设置好回答期限后点击“确认”，等待供应商澄清。</w:t>
      </w:r>
    </w:p>
    <w:p w14:paraId="15AFDA97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5759E">
      <w:pPr>
        <w:pStyle w:val="3"/>
        <w:bidi w:val="0"/>
        <w:rPr>
          <w:rFonts w:hint="eastAsia"/>
          <w:lang w:val="en-US" w:eastAsia="zh-CN"/>
        </w:rPr>
      </w:pPr>
      <w:bookmarkStart w:id="26" w:name="_Toc27721"/>
      <w:r>
        <w:rPr>
          <w:rFonts w:hint="eastAsia"/>
          <w:lang w:val="en-US" w:eastAsia="zh-CN"/>
        </w:rPr>
        <w:t>5、标书比对</w:t>
      </w:r>
      <w:bookmarkEnd w:id="26"/>
    </w:p>
    <w:p w14:paraId="294559AC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（1）点击右侧“常用功能”，点击“标书比对”。</w:t>
      </w:r>
    </w:p>
    <w:p w14:paraId="476CF723">
      <w:pPr>
        <w:rPr>
          <w:b/>
          <w:bCs w:val="0"/>
          <w:sz w:val="28"/>
          <w:szCs w:val="28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3DD0">
      <w:pPr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 w:val="0"/>
          <w:sz w:val="28"/>
          <w:szCs w:val="28"/>
          <w:lang w:val="en-US" w:eastAsia="zh-CN"/>
        </w:rPr>
        <w:t>（2）进入标书比对页面，可进行两份文件对比查看。</w:t>
      </w:r>
    </w:p>
    <w:p w14:paraId="331C2C85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72A6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（3）也可以点击“全屏查看”，进行放大查看。</w:t>
      </w:r>
    </w:p>
    <w:p w14:paraId="6AE0BCD8">
      <w:pPr>
        <w:rPr>
          <w:rFonts w:hint="default"/>
          <w:b/>
          <w:bCs w:val="0"/>
          <w:lang w:val="en-US" w:eastAsia="zh-CN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3DB5">
      <w:pPr>
        <w:pStyle w:val="3"/>
        <w:bidi w:val="0"/>
        <w:rPr>
          <w:rFonts w:hint="eastAsia"/>
          <w:b/>
          <w:bCs w:val="0"/>
          <w:lang w:val="en-US" w:eastAsia="zh-CN"/>
        </w:rPr>
      </w:pPr>
      <w:bookmarkStart w:id="27" w:name="_Toc11642"/>
      <w:r>
        <w:rPr>
          <w:rFonts w:hint="eastAsia"/>
          <w:b/>
          <w:bCs w:val="0"/>
          <w:lang w:val="en-US" w:eastAsia="zh-CN"/>
        </w:rPr>
        <w:t>6、流程重置</w:t>
      </w:r>
      <w:r>
        <w:rPr>
          <w:rFonts w:hint="eastAsia"/>
          <w:b/>
          <w:bCs w:val="0"/>
          <w:sz w:val="28"/>
          <w:szCs w:val="28"/>
          <w:lang w:val="en-US" w:eastAsia="zh-CN"/>
        </w:rPr>
        <w:t>（组长操作）</w:t>
      </w:r>
      <w:bookmarkEnd w:id="27"/>
    </w:p>
    <w:p w14:paraId="25F12E9A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（1）点击右侧“常用功能”，点击“流程重置”。</w:t>
      </w:r>
    </w:p>
    <w:p w14:paraId="5D3304BC">
      <w:pPr>
        <w:rPr>
          <w:rFonts w:hint="eastAsia"/>
          <w:b/>
          <w:bCs w:val="0"/>
          <w:lang w:val="en-US" w:eastAsia="zh-CN"/>
        </w:rPr>
      </w:pPr>
    </w:p>
    <w:p w14:paraId="43A450EE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42B3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（2）进入流程重置页面，点击“流程重置”。</w:t>
      </w:r>
    </w:p>
    <w:p w14:paraId="423DF4E6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4424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（3）选择要重置到的环节（只可以选择绿色的按钮），填写理由后点击“确认”。</w:t>
      </w:r>
    </w:p>
    <w:p w14:paraId="7B95F41D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C1D3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0E18">
      <w:pPr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（4）每个专家需要去“消息通知”进行确认，点击“消息通知”。</w:t>
      </w:r>
    </w:p>
    <w:p w14:paraId="5317DD62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95A1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（5）点击“退回重评”，点击“查看详情”。</w:t>
      </w:r>
    </w:p>
    <w:p w14:paraId="328F072D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20970" cy="2877820"/>
            <wp:effectExtent l="0" t="0" r="1143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B6D5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（6）进入详细页面，点击“同意”输入意见后点击“确定”，所有专家确认后，页面刷新后重置成功。</w:t>
      </w:r>
    </w:p>
    <w:p w14:paraId="414523CC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18430" cy="2771775"/>
            <wp:effectExtent l="0" t="0" r="1270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512AB">
      <w:pPr>
        <w:rPr>
          <w:b/>
          <w:bCs w:val="0"/>
        </w:rPr>
      </w:pPr>
      <w:r>
        <w:rPr>
          <w:b/>
          <w:bCs w:val="0"/>
        </w:rPr>
        <w:drawing>
          <wp:inline distT="0" distB="0" distL="114300" distR="114300">
            <wp:extent cx="5262880" cy="2795270"/>
            <wp:effectExtent l="0" t="0" r="7620" b="1143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15BC">
      <w:pPr>
        <w:rPr>
          <w:rFonts w:hint="default" w:eastAsiaTheme="minor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color w:val="FF0000"/>
          <w:sz w:val="28"/>
          <w:szCs w:val="28"/>
          <w:lang w:val="en-US" w:eastAsia="zh-CN"/>
        </w:rPr>
        <w:t>流程操作注意事项</w:t>
      </w:r>
      <w:r>
        <w:rPr>
          <w:rFonts w:hint="eastAsia"/>
          <w:b/>
          <w:bCs w:val="0"/>
          <w:sz w:val="28"/>
          <w:szCs w:val="28"/>
          <w:lang w:val="en-US" w:eastAsia="zh-CN"/>
        </w:rPr>
        <w:t>：流程重置后，继续评标，到“评委签章”环节，请专家老师确认报告内容是否更新，如果报告内容还是重置流程前的数据，需要联系代理进行“重置报表”操作。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E99D22D1-91C2-4CBD-A1DE-20C176DDCB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30F1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53217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53217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86AEFA"/>
    <w:multiLevelType w:val="singleLevel"/>
    <w:tmpl w:val="E486AE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10A3BFC"/>
    <w:multiLevelType w:val="singleLevel"/>
    <w:tmpl w:val="610A3BFC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C48FB"/>
    <w:rsid w:val="048344EA"/>
    <w:rsid w:val="07603356"/>
    <w:rsid w:val="097F1E67"/>
    <w:rsid w:val="0FD25DB2"/>
    <w:rsid w:val="1FDD13EE"/>
    <w:rsid w:val="2048292D"/>
    <w:rsid w:val="23446169"/>
    <w:rsid w:val="261C0F13"/>
    <w:rsid w:val="291A5A5A"/>
    <w:rsid w:val="2DBA63C5"/>
    <w:rsid w:val="2FA379D4"/>
    <w:rsid w:val="31DD584B"/>
    <w:rsid w:val="33C344D3"/>
    <w:rsid w:val="35124D02"/>
    <w:rsid w:val="354C6C82"/>
    <w:rsid w:val="3B927CC6"/>
    <w:rsid w:val="3FE74DEC"/>
    <w:rsid w:val="47892189"/>
    <w:rsid w:val="47FF4A87"/>
    <w:rsid w:val="4C0B772A"/>
    <w:rsid w:val="4E5B4D04"/>
    <w:rsid w:val="597E5F02"/>
    <w:rsid w:val="59F06314"/>
    <w:rsid w:val="5FF70E2E"/>
    <w:rsid w:val="61372047"/>
    <w:rsid w:val="673E0C64"/>
    <w:rsid w:val="69EA3303"/>
    <w:rsid w:val="6C6015DD"/>
    <w:rsid w:val="6D46097B"/>
    <w:rsid w:val="761E189D"/>
    <w:rsid w:val="7A4D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526</Words>
  <Characters>554</Characters>
  <Lines>0</Lines>
  <Paragraphs>0</Paragraphs>
  <TotalTime>5</TotalTime>
  <ScaleCrop>false</ScaleCrop>
  <LinksUpToDate>false</LinksUpToDate>
  <CharactersWithSpaces>644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2025-08-06T07:11:00Z</dcterms:created>
  <dc:creator>59851</dc:creator>
  <cp:lastModifiedBy>徐中华</cp:lastModifiedBy>
  <dcterms:modified xsi:type="dcterms:W3CDTF">2025-12-22T06:27:01Z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eyJoZGlkIjoiY2YwYmFjMjBlOWJlMzZmYTlmNmYyNGM0M2M2YTJmNjAiLCJ1c2VySWQiOiI0MjQyNTAzNDEifQ==</vt:lpwstr>
  </property>
  <property fmtid="{D5CDD505-2E9C-101B-9397-08002B2CF9AE}" pid="4" name="ICV">
    <vt:lpwstr>B92468913F8B458A9110CB70FE93D343_13</vt:lpwstr>
  </property>
</Properties>
</file>